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96774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第二周宿舍卫生检查结果通知</w:t>
      </w:r>
    </w:p>
    <w:p>
      <w:pPr>
        <w:ind w:firstLine="600" w:firstLineChars="2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兹定于 3 月 11日管理学院学生会督导部对宿舍卫生检查，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决定将以下宿舍评为优秀宿舍。</w:t>
      </w:r>
    </w:p>
    <w:p>
      <w:pPr>
        <w:ind w:firstLine="1050" w:firstLineChars="350"/>
        <w:rPr>
          <w:rFonts w:hint="eastAsia" w:ascii="Arial Unicode MS" w:hAnsi="Arial Unicode MS" w:eastAsia="Arial Unicode MS" w:cs="Arial Unicode MS"/>
          <w:sz w:val="30"/>
          <w:szCs w:val="30"/>
        </w:rPr>
      </w:pPr>
    </w:p>
    <w:p>
      <w:pPr>
        <w:ind w:firstLine="1050" w:firstLineChars="35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凌云二#310     凌云二#710    凌云二#504</w:t>
      </w:r>
    </w:p>
    <w:p>
      <w:pPr>
        <w:ind w:firstLine="1050" w:firstLineChars="35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 xml:space="preserve">凌云二#616          </w:t>
      </w:r>
    </w:p>
    <w:p>
      <w:pPr>
        <w:spacing w:line="581" w:lineRule="exact"/>
        <w:ind w:right="500" w:firstLine="600"/>
        <w:rPr>
          <w:rFonts w:ascii="Arial Unicode MS" w:hAnsi="Arial Unicode MS" w:eastAsia="Arial Unicode MS" w:cs="Arial Unicode MS"/>
          <w:sz w:val="30"/>
          <w:szCs w:val="30"/>
        </w:rPr>
      </w:pPr>
    </w:p>
    <w:p>
      <w:pPr>
        <w:spacing w:line="581" w:lineRule="exact"/>
        <w:ind w:right="500" w:firstLine="6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以下宿舍为卫生检查时无人开门宿舍，再经下次卫生检查发现依旧不开门则依次该宿舍内每人每次扣除 0.2μ</w:t>
      </w:r>
    </w:p>
    <w:p>
      <w:pPr>
        <w:ind w:firstLine="1050" w:firstLineChars="350"/>
        <w:rPr>
          <w:rFonts w:hint="eastAsia" w:ascii="Arial Unicode MS" w:hAnsi="Arial Unicode MS" w:eastAsia="Arial Unicode MS" w:cs="Arial Unicode MS"/>
          <w:sz w:val="30"/>
          <w:szCs w:val="30"/>
        </w:rPr>
      </w:pPr>
    </w:p>
    <w:p>
      <w:pPr>
        <w:ind w:firstLine="1050" w:firstLineChars="350"/>
        <w:rPr>
          <w:sz w:val="30"/>
          <w:szCs w:val="30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30"/>
          <w:szCs w:val="30"/>
        </w:rPr>
        <w:t>凌云二#411     凌云二#308     博学一#201</w:t>
      </w:r>
    </w:p>
    <w:p>
      <w:pPr>
        <w:rPr>
          <w:rFonts w:hint="eastAsia"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 xml:space="preserve">       博学一#202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</w:p>
    <w:p>
      <w:pPr>
        <w:ind w:firstLine="600" w:firstLineChars="2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评分细则详见管理学院院网。卫检结果也将在院网公示，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如有疑议请于公示后三个工作日内发送邮件至［管理学院学生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会督导部邮箱］ dudaogroup@163.com，我们将会在您来信后三个工作日内给您答复。</w:t>
      </w:r>
    </w:p>
    <w:p>
      <w:pPr>
        <w:ind w:firstLine="600" w:firstLineChars="2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谢谢合作！</w:t>
      </w:r>
    </w:p>
    <w:p>
      <w:pPr>
        <w:ind w:firstLine="4050" w:firstLineChars="135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厦门大学嘉庚学院管理学院团委</w:t>
      </w:r>
    </w:p>
    <w:p>
      <w:pPr>
        <w:ind w:firstLine="4650" w:firstLineChars="1550"/>
        <w:rPr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二〇一八年三月十三日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F57"/>
    <w:rsid w:val="007D0E78"/>
    <w:rsid w:val="00950F57"/>
    <w:rsid w:val="00B77A39"/>
    <w:rsid w:val="6B6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2018-03-12T15:49:00Z</dcterms:created>
  <dc:creator>Dell</dc:creator>
  <cp:lastModifiedBy>Administrator</cp:lastModifiedBy>
  <dcterms:modified xsi:type="dcterms:W3CDTF">2018-03-13T07:50:46Z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